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B/2025/027</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Sanierung Sporthallen Epe, 2. BA - Sporthallenboden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 xml:space="preserve">Die Stadt Gronau plant die Umsetzung des 2. Bauabschnittes für den Umbau bzw. die Sanierung der Dreifachsporthalle in Epe. Zudem handelt es sich um den Neubau eines Multifunkionsraumes mit angrenzenden Lagerflächen. Ausgeschrieben sind hier die Arbeiten für den Sporthallenboden, siehe Leistungsverzeichnis. 
</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